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7" w:line="360" w:lineRule="auto"/>
        <w:rPr>
          <w:b/>
          <w:bCs/>
        </w:rPr>
      </w:pPr>
      <w:r>
        <w:rPr>
          <w:rFonts w:hint="eastAsia"/>
          <w:b/>
          <w:bCs/>
          <w:w w:val="95"/>
          <w:lang w:val="en-US" w:eastAsia="zh-CN"/>
        </w:rPr>
        <w:t>表1：</w:t>
      </w:r>
      <w:r>
        <w:rPr>
          <w:b/>
          <w:bCs/>
          <w:w w:val="95"/>
        </w:rPr>
        <w:t>企业资产评估项目公示</w:t>
      </w:r>
      <w:r>
        <w:rPr>
          <w:b/>
          <w:bCs/>
          <w:spacing w:val="-10"/>
          <w:w w:val="95"/>
        </w:rPr>
        <w:t>表</w:t>
      </w:r>
    </w:p>
    <w:p>
      <w:pPr>
        <w:tabs>
          <w:tab w:val="left" w:pos="1999"/>
          <w:tab w:val="left" w:pos="2613"/>
          <w:tab w:val="left" w:pos="3225"/>
          <w:tab w:val="left" w:pos="4144"/>
          <w:tab w:val="left" w:pos="4759"/>
          <w:tab w:val="left" w:pos="5373"/>
        </w:tabs>
        <w:spacing w:before="0" w:line="360" w:lineRule="auto"/>
        <w:ind w:left="0" w:right="228" w:firstLine="0"/>
        <w:jc w:val="center"/>
        <w:rPr>
          <w:sz w:val="24"/>
        </w:rPr>
      </w:pPr>
      <w:r>
        <w:rPr>
          <w:sz w:val="24"/>
        </w:rPr>
        <w:t>（公示期限</w:t>
      </w:r>
      <w:r>
        <w:rPr>
          <w:spacing w:val="-10"/>
          <w:sz w:val="24"/>
        </w:rPr>
        <w:t>：</w:t>
      </w:r>
      <w:r>
        <w:rPr>
          <w:rFonts w:hint="eastAsia"/>
          <w:spacing w:val="-10"/>
          <w:sz w:val="24"/>
          <w:lang w:val="en-US" w:eastAsia="zh-CN"/>
        </w:rPr>
        <w:t xml:space="preserve"> 2023 </w:t>
      </w:r>
      <w:r>
        <w:rPr>
          <w:spacing w:val="-10"/>
          <w:sz w:val="24"/>
        </w:rPr>
        <w:t>年</w:t>
      </w:r>
      <w:r>
        <w:rPr>
          <w:rFonts w:hint="eastAsia"/>
          <w:spacing w:val="-10"/>
          <w:sz w:val="24"/>
          <w:lang w:val="en-US" w:eastAsia="zh-CN"/>
        </w:rPr>
        <w:t xml:space="preserve"> 3 </w:t>
      </w:r>
      <w:r>
        <w:rPr>
          <w:spacing w:val="-10"/>
          <w:sz w:val="24"/>
        </w:rPr>
        <w:t>月</w:t>
      </w:r>
      <w:r>
        <w:rPr>
          <w:rFonts w:hint="eastAsia"/>
          <w:spacing w:val="-10"/>
          <w:sz w:val="24"/>
          <w:lang w:val="en-US" w:eastAsia="zh-CN"/>
        </w:rPr>
        <w:t xml:space="preserve"> 22 </w:t>
      </w:r>
      <w:r>
        <w:rPr>
          <w:sz w:val="24"/>
        </w:rPr>
        <w:t>日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spacing w:val="-10"/>
          <w:sz w:val="24"/>
        </w:rPr>
        <w:t>—</w:t>
      </w:r>
      <w:r>
        <w:rPr>
          <w:rFonts w:hint="eastAsia"/>
          <w:spacing w:val="-10"/>
          <w:sz w:val="24"/>
          <w:lang w:val="en-US" w:eastAsia="zh-CN"/>
        </w:rPr>
        <w:t xml:space="preserve"> 2023 </w:t>
      </w:r>
      <w:r>
        <w:rPr>
          <w:spacing w:val="-10"/>
          <w:sz w:val="24"/>
        </w:rPr>
        <w:t>年</w:t>
      </w:r>
      <w:r>
        <w:rPr>
          <w:rFonts w:hint="eastAsia"/>
          <w:spacing w:val="-10"/>
          <w:sz w:val="24"/>
          <w:lang w:val="en-US" w:eastAsia="zh-CN"/>
        </w:rPr>
        <w:t xml:space="preserve"> 3 </w:t>
      </w:r>
      <w:r>
        <w:rPr>
          <w:spacing w:val="-10"/>
          <w:sz w:val="24"/>
        </w:rPr>
        <w:t>月</w:t>
      </w:r>
      <w:r>
        <w:rPr>
          <w:rFonts w:hint="eastAsia"/>
          <w:spacing w:val="-10"/>
          <w:sz w:val="24"/>
          <w:lang w:val="en-US" w:eastAsia="zh-CN"/>
        </w:rPr>
        <w:t xml:space="preserve"> 28 </w:t>
      </w:r>
      <w:r>
        <w:rPr>
          <w:sz w:val="24"/>
        </w:rPr>
        <w:t>日</w:t>
      </w:r>
      <w:r>
        <w:rPr>
          <w:spacing w:val="-10"/>
          <w:sz w:val="24"/>
        </w:rPr>
        <w:t>）</w:t>
      </w:r>
    </w:p>
    <w:p>
      <w:pPr>
        <w:spacing w:before="0" w:after="4"/>
        <w:ind w:right="0"/>
        <w:jc w:val="left"/>
        <w:rPr>
          <w:sz w:val="24"/>
        </w:rPr>
      </w:pPr>
    </w:p>
    <w:p>
      <w:pPr>
        <w:spacing w:before="0" w:after="4"/>
        <w:ind w:right="0"/>
        <w:jc w:val="left"/>
        <w:rPr>
          <w:rFonts w:hint="default" w:eastAsia="宋体"/>
          <w:sz w:val="24"/>
          <w:lang w:val="en-US" w:eastAsia="zh-CN"/>
        </w:rPr>
      </w:pPr>
      <w:r>
        <w:rPr>
          <w:sz w:val="24"/>
        </w:rPr>
        <w:t>公示责任单位名称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公章</w:t>
      </w:r>
      <w:r>
        <w:rPr>
          <w:rFonts w:hint="eastAsia"/>
          <w:sz w:val="24"/>
          <w:lang w:eastAsia="zh-CN"/>
        </w:rPr>
        <w:t>）：</w:t>
      </w:r>
      <w:r>
        <w:rPr>
          <w:rFonts w:hint="eastAsia"/>
          <w:sz w:val="24"/>
          <w:lang w:val="en-US" w:eastAsia="zh-CN"/>
        </w:rPr>
        <w:t>广西北投产城投资集团有限公司</w:t>
      </w:r>
    </w:p>
    <w:tbl>
      <w:tblPr>
        <w:tblStyle w:val="4"/>
        <w:tblW w:w="8780" w:type="dxa"/>
        <w:tblInd w:w="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0"/>
        <w:gridCol w:w="3356"/>
        <w:gridCol w:w="3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2250" w:type="dxa"/>
            <w:vAlign w:val="center"/>
          </w:tcPr>
          <w:p>
            <w:pPr>
              <w:pStyle w:val="6"/>
              <w:spacing w:before="1" w:line="291" w:lineRule="exact"/>
              <w:ind w:left="79" w:right="1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经济行为批准文件</w:t>
            </w:r>
          </w:p>
        </w:tc>
        <w:tc>
          <w:tcPr>
            <w:tcW w:w="6530" w:type="dxa"/>
            <w:gridSpan w:val="2"/>
            <w:vAlign w:val="center"/>
          </w:tcPr>
          <w:p>
            <w:pPr>
              <w:pStyle w:val="6"/>
              <w:spacing w:before="1" w:line="290" w:lineRule="exact"/>
              <w:ind w:left="107"/>
              <w:jc w:val="both"/>
              <w:rPr>
                <w:rFonts w:hint="eastAsia"/>
                <w:spacing w:val="-2"/>
                <w:sz w:val="24"/>
                <w:lang w:val="en-US" w:eastAsia="zh-CN"/>
              </w:rPr>
            </w:pPr>
            <w:r>
              <w:rPr>
                <w:rFonts w:hint="eastAsia"/>
                <w:spacing w:val="-2"/>
                <w:sz w:val="24"/>
                <w:lang w:val="en-US" w:eastAsia="zh-CN"/>
              </w:rPr>
              <w:t>《广西北投产城投资集团有限公司2022年第1次资产处置领导小组会议纪要》【北投产城纪要﹝2022﹞49号】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250" w:type="dxa"/>
            <w:vAlign w:val="center"/>
          </w:tcPr>
          <w:p>
            <w:pPr>
              <w:pStyle w:val="6"/>
              <w:spacing w:before="3" w:line="289" w:lineRule="exact"/>
              <w:ind w:left="79" w:right="1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评估机构选聘方式</w:t>
            </w:r>
          </w:p>
        </w:tc>
        <w:tc>
          <w:tcPr>
            <w:tcW w:w="6530" w:type="dxa"/>
            <w:gridSpan w:val="2"/>
            <w:vAlign w:val="center"/>
          </w:tcPr>
          <w:p>
            <w:pPr>
              <w:pStyle w:val="6"/>
              <w:spacing w:before="1" w:line="290" w:lineRule="exact"/>
              <w:ind w:left="107"/>
              <w:jc w:val="both"/>
              <w:rPr>
                <w:rFonts w:hint="default"/>
                <w:spacing w:val="-2"/>
                <w:sz w:val="24"/>
                <w:lang w:val="en-US" w:eastAsia="zh-CN"/>
              </w:rPr>
            </w:pPr>
            <w:r>
              <w:rPr>
                <w:rFonts w:hint="eastAsia"/>
                <w:spacing w:val="-2"/>
                <w:sz w:val="24"/>
                <w:lang w:val="en-US" w:eastAsia="zh-CN"/>
              </w:rPr>
              <w:t>比价选定评估机构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250" w:type="dxa"/>
            <w:vAlign w:val="center"/>
          </w:tcPr>
          <w:p>
            <w:pPr>
              <w:pStyle w:val="6"/>
              <w:spacing w:before="2" w:line="289" w:lineRule="exact"/>
              <w:ind w:left="97" w:right="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委托评估机构名称</w:t>
            </w:r>
          </w:p>
        </w:tc>
        <w:tc>
          <w:tcPr>
            <w:tcW w:w="6530" w:type="dxa"/>
            <w:gridSpan w:val="2"/>
            <w:vAlign w:val="center"/>
          </w:tcPr>
          <w:p>
            <w:pPr>
              <w:pStyle w:val="6"/>
              <w:spacing w:before="1" w:line="290" w:lineRule="exact"/>
              <w:ind w:left="107"/>
              <w:jc w:val="both"/>
              <w:rPr>
                <w:rFonts w:hint="eastAsia"/>
                <w:spacing w:val="-2"/>
                <w:sz w:val="24"/>
                <w:lang w:val="en-US" w:eastAsia="zh-CN"/>
              </w:rPr>
            </w:pPr>
            <w:r>
              <w:rPr>
                <w:rFonts w:hint="eastAsia"/>
                <w:spacing w:val="-2"/>
                <w:sz w:val="24"/>
                <w:lang w:val="en-US" w:eastAsia="zh-CN"/>
              </w:rPr>
              <w:t>广西荣洋资产土地房地产评估有限公司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50" w:type="dxa"/>
            <w:vAlign w:val="center"/>
          </w:tcPr>
          <w:p>
            <w:pPr>
              <w:pStyle w:val="6"/>
              <w:spacing w:before="2"/>
              <w:ind w:left="97" w:right="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评估机构资质证书</w:t>
            </w:r>
          </w:p>
          <w:p>
            <w:pPr>
              <w:pStyle w:val="6"/>
              <w:spacing w:before="4" w:line="290" w:lineRule="exact"/>
              <w:ind w:left="97" w:right="8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及编号</w:t>
            </w:r>
          </w:p>
        </w:tc>
        <w:tc>
          <w:tcPr>
            <w:tcW w:w="6530" w:type="dxa"/>
            <w:gridSpan w:val="2"/>
            <w:vAlign w:val="center"/>
          </w:tcPr>
          <w:p>
            <w:pPr>
              <w:pStyle w:val="6"/>
              <w:spacing w:before="1" w:line="290" w:lineRule="exact"/>
              <w:ind w:left="107"/>
              <w:jc w:val="both"/>
              <w:rPr>
                <w:rFonts w:hint="default"/>
                <w:spacing w:val="-2"/>
                <w:sz w:val="24"/>
                <w:lang w:val="en-US" w:eastAsia="zh-CN"/>
              </w:rPr>
            </w:pPr>
            <w:r>
              <w:rPr>
                <w:rFonts w:hint="eastAsia"/>
                <w:spacing w:val="-2"/>
                <w:sz w:val="24"/>
                <w:lang w:val="en-US" w:eastAsia="zh-CN"/>
              </w:rPr>
              <w:t>桂资评备245号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250" w:type="dxa"/>
            <w:vMerge w:val="restart"/>
            <w:vAlign w:val="center"/>
          </w:tcPr>
          <w:p>
            <w:pPr>
              <w:pStyle w:val="6"/>
              <w:ind w:lef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评估师及资质</w:t>
            </w:r>
          </w:p>
        </w:tc>
        <w:tc>
          <w:tcPr>
            <w:tcW w:w="3356" w:type="dxa"/>
            <w:vAlign w:val="center"/>
          </w:tcPr>
          <w:p>
            <w:pPr>
              <w:pStyle w:val="6"/>
              <w:spacing w:before="1" w:line="290" w:lineRule="exact"/>
              <w:ind w:left="1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资产评估师姓名</w:t>
            </w:r>
          </w:p>
        </w:tc>
        <w:tc>
          <w:tcPr>
            <w:tcW w:w="3174" w:type="dxa"/>
            <w:vAlign w:val="center"/>
          </w:tcPr>
          <w:p>
            <w:pPr>
              <w:pStyle w:val="6"/>
              <w:spacing w:before="1" w:line="290" w:lineRule="exact"/>
              <w:ind w:left="10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资产评估师资质证书编号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225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56" w:type="dxa"/>
            <w:vAlign w:val="center"/>
          </w:tcPr>
          <w:p>
            <w:pPr>
              <w:pStyle w:val="6"/>
              <w:spacing w:before="1" w:line="290" w:lineRule="exact"/>
              <w:ind w:left="107"/>
              <w:jc w:val="both"/>
              <w:rPr>
                <w:rFonts w:hint="eastAsia"/>
                <w:spacing w:val="-2"/>
                <w:sz w:val="24"/>
                <w:lang w:val="en-US" w:eastAsia="zh-CN"/>
              </w:rPr>
            </w:pPr>
            <w:r>
              <w:rPr>
                <w:rFonts w:hint="eastAsia"/>
                <w:spacing w:val="-2"/>
                <w:sz w:val="24"/>
                <w:lang w:val="en-US" w:eastAsia="zh-CN"/>
              </w:rPr>
              <w:t>钟文星</w:t>
            </w:r>
          </w:p>
        </w:tc>
        <w:tc>
          <w:tcPr>
            <w:tcW w:w="3174" w:type="dxa"/>
            <w:vAlign w:val="center"/>
          </w:tcPr>
          <w:p>
            <w:pPr>
              <w:pStyle w:val="6"/>
              <w:spacing w:before="1" w:line="290" w:lineRule="exact"/>
              <w:ind w:left="107"/>
              <w:jc w:val="both"/>
              <w:rPr>
                <w:rFonts w:hint="eastAsia"/>
                <w:spacing w:val="-2"/>
                <w:sz w:val="24"/>
                <w:lang w:val="en-US" w:eastAsia="zh-CN"/>
              </w:rPr>
            </w:pPr>
            <w:r>
              <w:rPr>
                <w:rFonts w:hint="eastAsia"/>
                <w:spacing w:val="-2"/>
                <w:sz w:val="24"/>
                <w:lang w:val="en-US" w:eastAsia="zh-CN"/>
              </w:rPr>
              <w:t>45090014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25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56" w:type="dxa"/>
            <w:vAlign w:val="center"/>
          </w:tcPr>
          <w:p>
            <w:pPr>
              <w:pStyle w:val="6"/>
              <w:spacing w:before="1" w:line="290" w:lineRule="exact"/>
              <w:ind w:left="107"/>
              <w:jc w:val="both"/>
              <w:rPr>
                <w:rFonts w:hint="default"/>
                <w:spacing w:val="-2"/>
                <w:sz w:val="24"/>
                <w:lang w:val="en-US" w:eastAsia="zh-CN"/>
              </w:rPr>
            </w:pPr>
            <w:r>
              <w:rPr>
                <w:rFonts w:hint="eastAsia"/>
                <w:spacing w:val="-2"/>
                <w:sz w:val="24"/>
                <w:lang w:val="en-US" w:eastAsia="zh-CN"/>
              </w:rPr>
              <w:t>古越胜</w:t>
            </w:r>
          </w:p>
        </w:tc>
        <w:tc>
          <w:tcPr>
            <w:tcW w:w="3174" w:type="dxa"/>
            <w:vAlign w:val="center"/>
          </w:tcPr>
          <w:p>
            <w:pPr>
              <w:pStyle w:val="6"/>
              <w:spacing w:before="1" w:line="290" w:lineRule="exact"/>
              <w:ind w:left="107"/>
              <w:jc w:val="both"/>
              <w:rPr>
                <w:rFonts w:hint="default"/>
                <w:spacing w:val="-2"/>
                <w:sz w:val="24"/>
                <w:lang w:val="en-US" w:eastAsia="zh-CN"/>
              </w:rPr>
            </w:pPr>
            <w:r>
              <w:rPr>
                <w:rFonts w:hint="eastAsia"/>
                <w:spacing w:val="-2"/>
                <w:sz w:val="24"/>
                <w:lang w:val="en-US" w:eastAsia="zh-CN"/>
              </w:rPr>
              <w:t>45060042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2250" w:type="dxa"/>
            <w:vAlign w:val="center"/>
          </w:tcPr>
          <w:p>
            <w:pPr>
              <w:pStyle w:val="6"/>
              <w:spacing w:before="3" w:line="242" w:lineRule="auto"/>
              <w:ind w:left="126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产权持有（资产占</w:t>
            </w:r>
            <w:r>
              <w:rPr>
                <w:sz w:val="24"/>
              </w:rPr>
              <w:t>有）</w:t>
            </w:r>
            <w:r>
              <w:rPr>
                <w:spacing w:val="-2"/>
                <w:sz w:val="24"/>
              </w:rPr>
              <w:t>单位或接受非</w:t>
            </w:r>
          </w:p>
          <w:p>
            <w:pPr>
              <w:pStyle w:val="6"/>
              <w:spacing w:before="3" w:line="289" w:lineRule="exact"/>
              <w:ind w:left="2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国有资产的企业</w:t>
            </w:r>
          </w:p>
        </w:tc>
        <w:tc>
          <w:tcPr>
            <w:tcW w:w="6530" w:type="dxa"/>
            <w:gridSpan w:val="2"/>
            <w:vAlign w:val="center"/>
          </w:tcPr>
          <w:p>
            <w:pPr>
              <w:pStyle w:val="6"/>
              <w:spacing w:before="1" w:line="290" w:lineRule="exact"/>
              <w:ind w:left="107"/>
              <w:jc w:val="both"/>
              <w:rPr>
                <w:spacing w:val="-2"/>
                <w:sz w:val="24"/>
              </w:rPr>
            </w:pPr>
            <w:r>
              <w:rPr>
                <w:rFonts w:hint="eastAsia"/>
                <w:spacing w:val="-2"/>
                <w:sz w:val="24"/>
                <w:lang w:val="en-US" w:eastAsia="zh-CN"/>
              </w:rPr>
              <w:t>广西北投产城投资集团有限公司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250" w:type="dxa"/>
            <w:vAlign w:val="center"/>
          </w:tcPr>
          <w:p>
            <w:pPr>
              <w:pStyle w:val="6"/>
              <w:spacing w:before="2" w:line="289" w:lineRule="exact"/>
              <w:ind w:left="97" w:right="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资产评估委托方</w:t>
            </w:r>
          </w:p>
        </w:tc>
        <w:tc>
          <w:tcPr>
            <w:tcW w:w="6530" w:type="dxa"/>
            <w:gridSpan w:val="2"/>
            <w:vAlign w:val="center"/>
          </w:tcPr>
          <w:p>
            <w:pPr>
              <w:pStyle w:val="6"/>
              <w:spacing w:before="1" w:line="290" w:lineRule="exact"/>
              <w:ind w:left="107"/>
              <w:jc w:val="both"/>
              <w:rPr>
                <w:rFonts w:hint="default"/>
                <w:spacing w:val="-2"/>
                <w:sz w:val="24"/>
                <w:lang w:val="en-US" w:eastAsia="zh-CN"/>
              </w:rPr>
            </w:pPr>
            <w:r>
              <w:rPr>
                <w:rFonts w:hint="eastAsia"/>
                <w:spacing w:val="-2"/>
                <w:sz w:val="24"/>
                <w:lang w:val="en-US" w:eastAsia="zh-CN"/>
              </w:rPr>
              <w:t>广西北投产城投资集团有限公司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50" w:type="dxa"/>
            <w:vAlign w:val="center"/>
          </w:tcPr>
          <w:p>
            <w:pPr>
              <w:pStyle w:val="6"/>
              <w:spacing w:before="1"/>
              <w:ind w:left="97" w:right="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评估程序履行情况</w:t>
            </w:r>
          </w:p>
        </w:tc>
        <w:tc>
          <w:tcPr>
            <w:tcW w:w="6530" w:type="dxa"/>
            <w:gridSpan w:val="2"/>
            <w:vAlign w:val="center"/>
          </w:tcPr>
          <w:p>
            <w:pPr>
              <w:pStyle w:val="6"/>
              <w:spacing w:before="1" w:line="290" w:lineRule="exact"/>
              <w:ind w:left="107"/>
              <w:jc w:val="both"/>
              <w:rPr>
                <w:rFonts w:hint="eastAsia"/>
                <w:spacing w:val="-2"/>
                <w:sz w:val="24"/>
                <w:lang w:val="en-US" w:eastAsia="zh-CN"/>
              </w:rPr>
            </w:pPr>
            <w:r>
              <w:rPr>
                <w:rFonts w:hint="eastAsia"/>
                <w:spacing w:val="-2"/>
                <w:sz w:val="24"/>
                <w:lang w:val="en-US" w:eastAsia="zh-CN"/>
              </w:rPr>
              <w:t>已按评估法及相关准则要求执行相关程序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250" w:type="dxa"/>
            <w:vAlign w:val="center"/>
          </w:tcPr>
          <w:p>
            <w:pPr>
              <w:pStyle w:val="6"/>
              <w:spacing w:before="1" w:line="291" w:lineRule="exact"/>
              <w:ind w:left="97" w:right="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评估报告编号</w:t>
            </w:r>
          </w:p>
        </w:tc>
        <w:tc>
          <w:tcPr>
            <w:tcW w:w="6530" w:type="dxa"/>
            <w:gridSpan w:val="2"/>
            <w:vAlign w:val="center"/>
          </w:tcPr>
          <w:p>
            <w:pPr>
              <w:pStyle w:val="6"/>
              <w:spacing w:before="1" w:line="290" w:lineRule="exact"/>
              <w:ind w:left="107"/>
              <w:jc w:val="both"/>
              <w:rPr>
                <w:rFonts w:hint="default"/>
                <w:spacing w:val="-2"/>
                <w:sz w:val="24"/>
                <w:lang w:val="en-US" w:eastAsia="zh-CN"/>
              </w:rPr>
            </w:pPr>
            <w:r>
              <w:rPr>
                <w:rFonts w:hint="eastAsia"/>
                <w:spacing w:val="-2"/>
                <w:sz w:val="24"/>
                <w:lang w:val="en-US" w:eastAsia="zh-CN"/>
              </w:rPr>
              <w:t>荣洋资评报字[2022]第026号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2250" w:type="dxa"/>
            <w:vAlign w:val="center"/>
          </w:tcPr>
          <w:p>
            <w:pPr>
              <w:pStyle w:val="6"/>
              <w:spacing w:before="3" w:line="289" w:lineRule="exact"/>
              <w:ind w:left="97" w:right="8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评估目的</w:t>
            </w:r>
          </w:p>
        </w:tc>
        <w:tc>
          <w:tcPr>
            <w:tcW w:w="6530" w:type="dxa"/>
            <w:gridSpan w:val="2"/>
            <w:vAlign w:val="center"/>
          </w:tcPr>
          <w:p>
            <w:pPr>
              <w:pStyle w:val="6"/>
              <w:spacing w:before="1" w:line="290" w:lineRule="exact"/>
              <w:ind w:left="107"/>
              <w:jc w:val="both"/>
              <w:rPr>
                <w:rFonts w:hint="default" w:eastAsia="宋体"/>
                <w:spacing w:val="-2"/>
                <w:sz w:val="24"/>
                <w:lang w:val="en-US" w:eastAsia="zh-CN"/>
              </w:rPr>
            </w:pPr>
            <w:r>
              <w:rPr>
                <w:rFonts w:hint="eastAsia"/>
                <w:spacing w:val="-2"/>
                <w:sz w:val="24"/>
                <w:lang w:val="en-US" w:eastAsia="zh-CN"/>
              </w:rPr>
              <w:t>对吉祥·凤景湾项目幼儿园在基准日所表现的市场价值发表专业意见，提供吉祥·凤景湾幼儿园教育用房1年期租赁权市场价值依据。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250" w:type="dxa"/>
            <w:vAlign w:val="center"/>
          </w:tcPr>
          <w:p>
            <w:pPr>
              <w:pStyle w:val="6"/>
              <w:spacing w:before="2" w:line="289" w:lineRule="exact"/>
              <w:ind w:left="97" w:right="8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评估对象</w:t>
            </w:r>
          </w:p>
        </w:tc>
        <w:tc>
          <w:tcPr>
            <w:tcW w:w="6530" w:type="dxa"/>
            <w:gridSpan w:val="2"/>
            <w:vAlign w:val="center"/>
          </w:tcPr>
          <w:p>
            <w:pPr>
              <w:pStyle w:val="6"/>
              <w:spacing w:before="1" w:line="290" w:lineRule="exact"/>
              <w:ind w:left="107"/>
              <w:jc w:val="both"/>
              <w:rPr>
                <w:rFonts w:hint="default" w:eastAsia="宋体"/>
                <w:spacing w:val="-2"/>
                <w:sz w:val="24"/>
                <w:lang w:val="en-US" w:eastAsia="zh-CN"/>
              </w:rPr>
            </w:pPr>
            <w:r>
              <w:rPr>
                <w:rFonts w:hint="eastAsia"/>
                <w:spacing w:val="-2"/>
                <w:sz w:val="24"/>
                <w:lang w:val="en-US" w:eastAsia="zh-CN"/>
              </w:rPr>
              <w:t>广西北投产城投资集团有限公司位于南宁市青秀区吉祥路9号吉祥·凤景湾幼儿园教育用房1年期租赁权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250" w:type="dxa"/>
            <w:vAlign w:val="center"/>
          </w:tcPr>
          <w:p>
            <w:pPr>
              <w:pStyle w:val="6"/>
              <w:spacing w:before="2" w:line="290" w:lineRule="exact"/>
              <w:ind w:left="97" w:right="8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评估范围</w:t>
            </w:r>
          </w:p>
        </w:tc>
        <w:tc>
          <w:tcPr>
            <w:tcW w:w="6530" w:type="dxa"/>
            <w:gridSpan w:val="2"/>
            <w:vAlign w:val="center"/>
          </w:tcPr>
          <w:p>
            <w:pPr>
              <w:pStyle w:val="6"/>
              <w:spacing w:before="1" w:line="290" w:lineRule="exact"/>
              <w:ind w:left="107"/>
              <w:jc w:val="both"/>
              <w:rPr>
                <w:rFonts w:hint="default" w:eastAsia="宋体"/>
                <w:spacing w:val="-2"/>
                <w:sz w:val="24"/>
                <w:lang w:val="en-US" w:eastAsia="zh-CN"/>
              </w:rPr>
            </w:pPr>
            <w:r>
              <w:rPr>
                <w:rFonts w:hint="eastAsia"/>
                <w:spacing w:val="-2"/>
                <w:sz w:val="24"/>
                <w:lang w:val="en-US" w:eastAsia="zh-CN"/>
              </w:rPr>
              <w:t>南宁市青秀区吉祥路9号吉祥·凤景湾幼儿园教育用房，房屋建筑总面积4600.12平方米。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2250" w:type="dxa"/>
            <w:vAlign w:val="center"/>
          </w:tcPr>
          <w:p>
            <w:pPr>
              <w:pStyle w:val="6"/>
              <w:spacing w:before="2" w:line="290" w:lineRule="exact"/>
              <w:ind w:left="97" w:right="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评估基准日</w:t>
            </w:r>
          </w:p>
        </w:tc>
        <w:tc>
          <w:tcPr>
            <w:tcW w:w="6530" w:type="dxa"/>
            <w:gridSpan w:val="2"/>
            <w:vAlign w:val="center"/>
          </w:tcPr>
          <w:p>
            <w:pPr>
              <w:pStyle w:val="6"/>
              <w:spacing w:before="1" w:line="290" w:lineRule="exact"/>
              <w:ind w:left="107"/>
              <w:jc w:val="both"/>
              <w:rPr>
                <w:rFonts w:hint="default" w:eastAsia="宋体"/>
                <w:spacing w:val="-2"/>
                <w:sz w:val="24"/>
                <w:lang w:val="en-US" w:eastAsia="zh-CN"/>
              </w:rPr>
            </w:pPr>
            <w:r>
              <w:rPr>
                <w:rFonts w:hint="eastAsia"/>
                <w:spacing w:val="-2"/>
                <w:sz w:val="24"/>
                <w:lang w:val="en-US" w:eastAsia="zh-CN"/>
              </w:rPr>
              <w:t>2022年11月22日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2250" w:type="dxa"/>
            <w:vAlign w:val="center"/>
          </w:tcPr>
          <w:p>
            <w:pPr>
              <w:pStyle w:val="6"/>
              <w:spacing w:before="1" w:line="290" w:lineRule="exact"/>
              <w:ind w:left="97" w:right="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报告有效期</w:t>
            </w:r>
          </w:p>
        </w:tc>
        <w:tc>
          <w:tcPr>
            <w:tcW w:w="6530" w:type="dxa"/>
            <w:gridSpan w:val="2"/>
            <w:vAlign w:val="center"/>
          </w:tcPr>
          <w:p>
            <w:pPr>
              <w:pStyle w:val="6"/>
              <w:spacing w:before="1" w:line="290" w:lineRule="exact"/>
              <w:ind w:left="107"/>
              <w:jc w:val="both"/>
              <w:rPr>
                <w:rFonts w:hint="default" w:eastAsia="宋体"/>
                <w:spacing w:val="-2"/>
                <w:sz w:val="24"/>
                <w:lang w:val="en-US" w:eastAsia="zh-CN"/>
              </w:rPr>
            </w:pPr>
            <w:r>
              <w:rPr>
                <w:rFonts w:hint="eastAsia"/>
                <w:spacing w:val="-2"/>
                <w:sz w:val="24"/>
                <w:lang w:val="en-US" w:eastAsia="zh-CN"/>
              </w:rPr>
              <w:t>本评估结论的使用有效期为一年，自评估基准日2022年11月22日起至2023年11月21日止。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2250" w:type="dxa"/>
            <w:vAlign w:val="center"/>
          </w:tcPr>
          <w:p>
            <w:pPr>
              <w:pStyle w:val="6"/>
              <w:spacing w:before="1" w:line="291" w:lineRule="exact"/>
              <w:ind w:left="97" w:right="8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价值类型</w:t>
            </w:r>
          </w:p>
        </w:tc>
        <w:tc>
          <w:tcPr>
            <w:tcW w:w="6530" w:type="dxa"/>
            <w:gridSpan w:val="2"/>
            <w:vAlign w:val="center"/>
          </w:tcPr>
          <w:p>
            <w:pPr>
              <w:pStyle w:val="6"/>
              <w:spacing w:before="1" w:line="290" w:lineRule="exact"/>
              <w:ind w:left="107"/>
              <w:jc w:val="both"/>
              <w:rPr>
                <w:rFonts w:hint="default" w:eastAsia="宋体"/>
                <w:spacing w:val="-2"/>
                <w:sz w:val="24"/>
                <w:lang w:val="en-US" w:eastAsia="zh-CN"/>
              </w:rPr>
            </w:pPr>
            <w:r>
              <w:rPr>
                <w:rFonts w:hint="eastAsia"/>
                <w:spacing w:val="-2"/>
                <w:sz w:val="24"/>
                <w:lang w:val="en-US" w:eastAsia="zh-CN"/>
              </w:rPr>
              <w:t>市场价值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250" w:type="dxa"/>
            <w:vAlign w:val="center"/>
          </w:tcPr>
          <w:p>
            <w:pPr>
              <w:pStyle w:val="6"/>
              <w:spacing w:before="3" w:line="289" w:lineRule="exact"/>
              <w:ind w:left="97" w:right="8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评估方法</w:t>
            </w:r>
          </w:p>
        </w:tc>
        <w:tc>
          <w:tcPr>
            <w:tcW w:w="6530" w:type="dxa"/>
            <w:gridSpan w:val="2"/>
            <w:vAlign w:val="center"/>
          </w:tcPr>
          <w:p>
            <w:pPr>
              <w:pStyle w:val="6"/>
              <w:spacing w:before="1" w:line="290" w:lineRule="exact"/>
              <w:ind w:left="107"/>
              <w:jc w:val="both"/>
              <w:rPr>
                <w:rFonts w:hint="eastAsia" w:eastAsia="宋体"/>
                <w:spacing w:val="-2"/>
                <w:sz w:val="24"/>
                <w:lang w:val="en-US" w:eastAsia="zh-CN"/>
              </w:rPr>
            </w:pPr>
            <w:r>
              <w:rPr>
                <w:rFonts w:hint="eastAsia"/>
                <w:spacing w:val="-2"/>
                <w:sz w:val="24"/>
                <w:lang w:val="en-US" w:eastAsia="zh-CN"/>
              </w:rPr>
              <w:t>收益法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250" w:type="dxa"/>
            <w:vAlign w:val="center"/>
          </w:tcPr>
          <w:p>
            <w:pPr>
              <w:pStyle w:val="6"/>
              <w:spacing w:before="3" w:line="289" w:lineRule="exact"/>
              <w:ind w:left="97" w:right="8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评估结论</w:t>
            </w:r>
          </w:p>
        </w:tc>
        <w:tc>
          <w:tcPr>
            <w:tcW w:w="6530" w:type="dxa"/>
            <w:gridSpan w:val="2"/>
            <w:vAlign w:val="center"/>
          </w:tcPr>
          <w:p>
            <w:pPr>
              <w:pStyle w:val="6"/>
              <w:spacing w:before="1" w:line="290" w:lineRule="exact"/>
              <w:ind w:left="107"/>
              <w:jc w:val="both"/>
              <w:rPr>
                <w:rFonts w:hint="default" w:eastAsia="宋体"/>
                <w:spacing w:val="-2"/>
                <w:sz w:val="24"/>
                <w:lang w:val="en-US" w:eastAsia="zh-CN"/>
              </w:rPr>
            </w:pPr>
            <w:r>
              <w:rPr>
                <w:rFonts w:hint="eastAsia"/>
                <w:spacing w:val="-2"/>
                <w:sz w:val="24"/>
                <w:lang w:val="en-US" w:eastAsia="zh-CN"/>
              </w:rPr>
              <w:t>吉祥·凤景湾幼儿园教育用房1年期租赁权市场价值为963093.00元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250" w:type="dxa"/>
            <w:vAlign w:val="center"/>
          </w:tcPr>
          <w:p>
            <w:pPr>
              <w:pStyle w:val="6"/>
              <w:spacing w:before="127" w:line="242" w:lineRule="auto"/>
              <w:ind w:left="246" w:right="116" w:hanging="1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评估特别事项说明及期后重大事项</w:t>
            </w:r>
          </w:p>
        </w:tc>
        <w:tc>
          <w:tcPr>
            <w:tcW w:w="6530" w:type="dxa"/>
            <w:gridSpan w:val="2"/>
            <w:vAlign w:val="center"/>
          </w:tcPr>
          <w:p>
            <w:pPr>
              <w:pStyle w:val="6"/>
              <w:spacing w:before="1" w:line="290" w:lineRule="exact"/>
              <w:ind w:left="107"/>
              <w:jc w:val="both"/>
              <w:rPr>
                <w:rFonts w:hint="eastAsia" w:eastAsia="宋体"/>
                <w:spacing w:val="-2"/>
                <w:sz w:val="24"/>
                <w:lang w:val="en-US" w:eastAsia="zh-CN"/>
              </w:rPr>
            </w:pPr>
            <w:r>
              <w:rPr>
                <w:rFonts w:hint="eastAsia"/>
                <w:spacing w:val="-2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2250" w:type="dxa"/>
            <w:vAlign w:val="center"/>
          </w:tcPr>
          <w:p>
            <w:pPr>
              <w:pStyle w:val="6"/>
              <w:ind w:left="97" w:right="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评估资料查阅方式</w:t>
            </w:r>
          </w:p>
        </w:tc>
        <w:tc>
          <w:tcPr>
            <w:tcW w:w="6530" w:type="dxa"/>
            <w:gridSpan w:val="2"/>
            <w:vAlign w:val="center"/>
          </w:tcPr>
          <w:p>
            <w:pPr>
              <w:pStyle w:val="6"/>
              <w:spacing w:before="1" w:line="290" w:lineRule="exact"/>
              <w:ind w:left="107"/>
              <w:jc w:val="both"/>
              <w:rPr>
                <w:rFonts w:hint="default" w:eastAsia="宋体"/>
                <w:spacing w:val="-2"/>
                <w:sz w:val="24"/>
                <w:lang w:val="en-US" w:eastAsia="zh-CN"/>
              </w:rPr>
            </w:pPr>
            <w:r>
              <w:rPr>
                <w:rFonts w:hint="eastAsia"/>
                <w:spacing w:val="-2"/>
                <w:sz w:val="24"/>
                <w:lang w:val="en-US" w:eastAsia="zh-CN"/>
              </w:rPr>
              <w:t>公示栏、吉祥凤景湾项目部开发运营部或北投产城集团运营管理部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2250" w:type="dxa"/>
            <w:vAlign w:val="center"/>
          </w:tcPr>
          <w:p>
            <w:pPr>
              <w:pStyle w:val="6"/>
              <w:ind w:left="97" w:right="89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反馈意见收集及处理方式</w:t>
            </w:r>
          </w:p>
        </w:tc>
        <w:tc>
          <w:tcPr>
            <w:tcW w:w="6530" w:type="dxa"/>
            <w:gridSpan w:val="2"/>
            <w:vAlign w:val="center"/>
          </w:tcPr>
          <w:p>
            <w:pPr>
              <w:pStyle w:val="6"/>
              <w:ind w:left="97" w:right="89"/>
              <w:jc w:val="left"/>
              <w:rPr>
                <w:rFonts w:hint="default"/>
                <w:spacing w:val="-2"/>
                <w:sz w:val="24"/>
                <w:lang w:val="en-US" w:eastAsia="zh-CN"/>
              </w:rPr>
            </w:pPr>
            <w:r>
              <w:rPr>
                <w:rFonts w:hint="eastAsia"/>
                <w:spacing w:val="-2"/>
                <w:sz w:val="24"/>
                <w:lang w:val="en-US" w:eastAsia="zh-CN"/>
              </w:rPr>
              <w:t>可通过以下联系方式进行</w:t>
            </w:r>
          </w:p>
        </w:tc>
      </w:tr>
    </w:tbl>
    <w:p>
      <w:pPr>
        <w:rPr>
          <w:rFonts w:ascii="Microsoft JhengHei" w:eastAsia="Microsoft JhengHei"/>
          <w:b/>
          <w:spacing w:val="-6"/>
          <w:sz w:val="28"/>
        </w:rPr>
      </w:pPr>
    </w:p>
    <w:p>
      <w:pPr>
        <w:spacing w:before="0" w:line="458" w:lineRule="exact"/>
        <w:ind w:right="0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b/>
          <w:spacing w:val="-6"/>
          <w:sz w:val="28"/>
        </w:rPr>
        <w:t>公示责任单位</w:t>
      </w:r>
      <w:r>
        <w:rPr>
          <w:rFonts w:hint="eastAsia" w:ascii="宋体" w:hAnsi="宋体" w:eastAsia="宋体" w:cs="宋体"/>
          <w:spacing w:val="-6"/>
          <w:sz w:val="28"/>
        </w:rPr>
        <w:t>【产权持有（或资产占有）</w:t>
      </w:r>
      <w:r>
        <w:rPr>
          <w:rFonts w:hint="eastAsia" w:ascii="宋体" w:hAnsi="宋体" w:eastAsia="宋体" w:cs="宋体"/>
          <w:spacing w:val="-7"/>
          <w:sz w:val="28"/>
        </w:rPr>
        <w:t>单位或接受非国有资产的企</w:t>
      </w:r>
      <w:r>
        <w:rPr>
          <w:rFonts w:hint="eastAsia" w:ascii="宋体" w:hAnsi="宋体" w:eastAsia="宋体" w:cs="宋体"/>
          <w:spacing w:val="-4"/>
          <w:sz w:val="28"/>
        </w:rPr>
        <w:t>业，下同】</w:t>
      </w:r>
    </w:p>
    <w:p>
      <w:pPr>
        <w:pStyle w:val="3"/>
        <w:spacing w:before="9"/>
        <w:rPr>
          <w:rFonts w:hint="eastAsia" w:ascii="宋体" w:hAnsi="宋体" w:eastAsia="宋体" w:cs="宋体"/>
          <w:sz w:val="20"/>
        </w:rPr>
      </w:pPr>
    </w:p>
    <w:p>
      <w:pPr>
        <w:tabs>
          <w:tab w:val="left" w:pos="4960"/>
          <w:tab w:val="left" w:pos="7269"/>
        </w:tabs>
        <w:spacing w:before="0"/>
        <w:ind w:right="0"/>
        <w:jc w:val="left"/>
        <w:rPr>
          <w:rFonts w:hint="eastAsia" w:ascii="宋体" w:hAnsi="宋体" w:eastAsia="宋体" w:cs="宋体"/>
          <w:sz w:val="28"/>
          <w:lang w:val="en-US" w:eastAsia="zh-CN"/>
        </w:rPr>
      </w:pPr>
      <w:r>
        <w:rPr>
          <w:rFonts w:hint="eastAsia" w:ascii="宋体" w:hAnsi="宋体" w:eastAsia="宋体" w:cs="宋体"/>
          <w:spacing w:val="-2"/>
          <w:sz w:val="28"/>
        </w:rPr>
        <w:t>资产评估归口管理部门电话</w:t>
      </w:r>
      <w:r>
        <w:rPr>
          <w:rFonts w:hint="eastAsia" w:ascii="宋体" w:hAnsi="宋体" w:eastAsia="宋体" w:cs="宋体"/>
          <w:spacing w:val="-10"/>
          <w:sz w:val="28"/>
        </w:rPr>
        <w:t>：</w:t>
      </w:r>
      <w:r>
        <w:rPr>
          <w:rFonts w:hint="eastAsia" w:ascii="宋体" w:hAnsi="宋体" w:eastAsia="宋体" w:cs="宋体"/>
          <w:sz w:val="28"/>
          <w:u w:val="single"/>
          <w:lang w:val="en-US" w:eastAsia="zh-CN"/>
        </w:rPr>
        <w:t xml:space="preserve"> </w:t>
      </w:r>
      <w:r>
        <w:rPr>
          <w:rFonts w:hint="eastAsia" w:cs="宋体"/>
          <w:sz w:val="28"/>
          <w:u w:val="single"/>
          <w:lang w:val="en-US" w:eastAsia="zh-CN"/>
        </w:rPr>
        <w:t>0771</w:t>
      </w:r>
      <w:r>
        <w:rPr>
          <w:rFonts w:hint="eastAsia" w:ascii="宋体" w:hAnsi="宋体" w:eastAsia="宋体" w:cs="宋体"/>
          <w:sz w:val="28"/>
          <w:u w:val="single"/>
          <w:lang w:val="en-US" w:eastAsia="zh-CN"/>
        </w:rPr>
        <w:t xml:space="preserve">8062252 </w:t>
      </w:r>
      <w:r>
        <w:rPr>
          <w:rFonts w:hint="eastAsia" w:ascii="宋体" w:hAnsi="宋体" w:eastAsia="宋体" w:cs="宋体"/>
          <w:spacing w:val="-2"/>
          <w:sz w:val="28"/>
        </w:rPr>
        <w:t>，联系人</w:t>
      </w:r>
      <w:r>
        <w:rPr>
          <w:rFonts w:hint="eastAsia" w:ascii="宋体" w:hAnsi="宋体" w:eastAsia="宋体" w:cs="宋体"/>
          <w:spacing w:val="-10"/>
          <w:sz w:val="28"/>
        </w:rPr>
        <w:t>：</w:t>
      </w:r>
      <w:r>
        <w:rPr>
          <w:rFonts w:hint="eastAsia" w:ascii="宋体" w:hAnsi="宋体" w:eastAsia="宋体" w:cs="宋体"/>
          <w:sz w:val="28"/>
          <w:u w:val="single"/>
          <w:lang w:val="en-US" w:eastAsia="zh-CN"/>
        </w:rPr>
        <w:t xml:space="preserve"> 龙靖雯 </w:t>
      </w:r>
    </w:p>
    <w:p>
      <w:pPr>
        <w:pStyle w:val="3"/>
        <w:spacing w:before="11"/>
        <w:rPr>
          <w:rFonts w:hint="eastAsia" w:ascii="宋体" w:hAnsi="宋体" w:eastAsia="宋体" w:cs="宋体"/>
          <w:sz w:val="16"/>
        </w:rPr>
      </w:pPr>
    </w:p>
    <w:p>
      <w:pPr>
        <w:tabs>
          <w:tab w:val="left" w:pos="4679"/>
          <w:tab w:val="left" w:pos="6988"/>
        </w:tabs>
        <w:spacing w:before="71"/>
        <w:ind w:right="0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2"/>
          <w:sz w:val="28"/>
        </w:rPr>
        <w:t>工会（或相关部门）电话</w:t>
      </w:r>
      <w:r>
        <w:rPr>
          <w:rFonts w:hint="eastAsia" w:ascii="宋体" w:hAnsi="宋体" w:eastAsia="宋体" w:cs="宋体"/>
          <w:spacing w:val="-10"/>
          <w:sz w:val="28"/>
        </w:rPr>
        <w:t>：</w:t>
      </w:r>
      <w:r>
        <w:rPr>
          <w:rFonts w:hint="eastAsia" w:ascii="宋体" w:hAnsi="宋体" w:eastAsia="宋体" w:cs="宋体"/>
          <w:sz w:val="28"/>
          <w:u w:val="single"/>
          <w:lang w:val="en-US" w:eastAsia="zh-CN"/>
        </w:rPr>
        <w:t xml:space="preserve"> 0771-2827600 </w:t>
      </w:r>
      <w:r>
        <w:rPr>
          <w:rFonts w:hint="eastAsia" w:ascii="宋体" w:hAnsi="宋体" w:eastAsia="宋体" w:cs="宋体"/>
          <w:spacing w:val="-2"/>
          <w:sz w:val="28"/>
        </w:rPr>
        <w:t>，联系人</w:t>
      </w:r>
      <w:r>
        <w:rPr>
          <w:rFonts w:hint="eastAsia" w:ascii="宋体" w:hAnsi="宋体" w:eastAsia="宋体" w:cs="宋体"/>
          <w:spacing w:val="-10"/>
          <w:sz w:val="28"/>
        </w:rPr>
        <w:t>：</w:t>
      </w:r>
      <w:r>
        <w:rPr>
          <w:rFonts w:hint="eastAsia" w:ascii="宋体" w:hAnsi="宋体" w:eastAsia="宋体" w:cs="宋体"/>
          <w:sz w:val="28"/>
          <w:u w:val="single"/>
          <w:lang w:val="en-US" w:eastAsia="zh-CN"/>
        </w:rPr>
        <w:t xml:space="preserve"> </w:t>
      </w:r>
      <w:r>
        <w:rPr>
          <w:rFonts w:hint="eastAsia" w:cs="宋体"/>
          <w:sz w:val="28"/>
          <w:u w:val="single"/>
          <w:lang w:val="en-US" w:eastAsia="zh-CN"/>
        </w:rPr>
        <w:t>廖松栩</w:t>
      </w:r>
      <w:r>
        <w:rPr>
          <w:rFonts w:hint="eastAsia" w:ascii="宋体" w:hAnsi="宋体" w:eastAsia="宋体" w:cs="宋体"/>
          <w:sz w:val="28"/>
          <w:u w:val="single"/>
          <w:lang w:val="en-US" w:eastAsia="zh-CN"/>
        </w:rPr>
        <w:t xml:space="preserve"> </w:t>
      </w:r>
    </w:p>
    <w:p>
      <w:pPr>
        <w:pStyle w:val="3"/>
        <w:spacing w:before="10"/>
        <w:rPr>
          <w:rFonts w:hint="eastAsia" w:ascii="宋体" w:hAnsi="宋体" w:eastAsia="宋体" w:cs="宋体"/>
          <w:sz w:val="16"/>
        </w:rPr>
      </w:pPr>
    </w:p>
    <w:p>
      <w:pPr>
        <w:tabs>
          <w:tab w:val="left" w:pos="5800"/>
          <w:tab w:val="left" w:pos="8248"/>
        </w:tabs>
        <w:spacing w:before="71"/>
        <w:ind w:right="0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pacing w:val="-2"/>
          <w:sz w:val="28"/>
        </w:rPr>
        <w:t>纪检监察机构（或相关部门）电话</w:t>
      </w:r>
      <w:r>
        <w:rPr>
          <w:rFonts w:hint="eastAsia" w:ascii="宋体" w:hAnsi="宋体" w:eastAsia="宋体" w:cs="宋体"/>
          <w:spacing w:val="-10"/>
          <w:sz w:val="28"/>
        </w:rPr>
        <w:t>：</w:t>
      </w:r>
      <w:r>
        <w:rPr>
          <w:rFonts w:hint="eastAsia" w:ascii="宋体" w:hAnsi="宋体" w:eastAsia="宋体" w:cs="宋体"/>
          <w:sz w:val="28"/>
          <w:u w:val="single"/>
          <w:lang w:val="en-US" w:eastAsia="zh-CN"/>
        </w:rPr>
        <w:t>0771-8062671</w:t>
      </w:r>
      <w:r>
        <w:rPr>
          <w:rFonts w:hint="eastAsia" w:ascii="宋体" w:hAnsi="宋体" w:eastAsia="宋体" w:cs="宋体"/>
          <w:spacing w:val="-2"/>
          <w:sz w:val="28"/>
        </w:rPr>
        <w:t>，联系人</w:t>
      </w:r>
      <w:r>
        <w:rPr>
          <w:rFonts w:hint="eastAsia" w:ascii="宋体" w:hAnsi="宋体" w:eastAsia="宋体" w:cs="宋体"/>
          <w:spacing w:val="-10"/>
          <w:sz w:val="28"/>
        </w:rPr>
        <w:t>：</w:t>
      </w:r>
      <w:r>
        <w:rPr>
          <w:rFonts w:hint="eastAsia" w:ascii="宋体" w:hAnsi="宋体" w:eastAsia="宋体" w:cs="宋体"/>
          <w:sz w:val="28"/>
          <w:u w:val="single"/>
          <w:lang w:val="en-US" w:eastAsia="zh-CN"/>
        </w:rPr>
        <w:t>韦凌毅</w:t>
      </w:r>
    </w:p>
    <w:p>
      <w:pPr>
        <w:pStyle w:val="3"/>
        <w:spacing w:before="8"/>
        <w:rPr>
          <w:rFonts w:hint="eastAsia" w:ascii="宋体" w:hAnsi="宋体" w:eastAsia="宋体" w:cs="宋体"/>
          <w:sz w:val="17"/>
        </w:rPr>
      </w:pPr>
    </w:p>
    <w:p>
      <w:pPr>
        <w:spacing w:before="0" w:line="484" w:lineRule="exact"/>
        <w:ind w:right="0"/>
        <w:jc w:val="left"/>
        <w:rPr>
          <w:rFonts w:hint="eastAsia" w:ascii="宋体" w:hAnsi="宋体" w:eastAsia="宋体" w:cs="宋体"/>
          <w:b/>
          <w:spacing w:val="-4"/>
          <w:sz w:val="28"/>
        </w:rPr>
      </w:pPr>
      <w:r>
        <w:rPr>
          <w:rFonts w:hint="eastAsia" w:ascii="宋体" w:hAnsi="宋体" w:eastAsia="宋体" w:cs="宋体"/>
          <w:b/>
          <w:spacing w:val="-4"/>
          <w:sz w:val="28"/>
        </w:rPr>
        <w:t>北投集团：</w:t>
      </w:r>
    </w:p>
    <w:p>
      <w:pPr>
        <w:spacing w:before="0" w:line="484" w:lineRule="exact"/>
        <w:ind w:right="0"/>
        <w:jc w:val="left"/>
        <w:rPr>
          <w:rFonts w:hint="eastAsia" w:ascii="宋体" w:hAnsi="宋体" w:eastAsia="宋体" w:cs="宋体"/>
          <w:b/>
          <w:spacing w:val="-4"/>
          <w:sz w:val="28"/>
        </w:rPr>
      </w:pPr>
    </w:p>
    <w:p>
      <w:pPr>
        <w:rPr>
          <w:rFonts w:hint="default" w:ascii="宋体" w:hAnsi="宋体" w:eastAsia="宋体" w:cs="宋体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-2"/>
          <w:sz w:val="28"/>
        </w:rPr>
        <w:t>资产评估项目备案管理部门电话</w:t>
      </w:r>
      <w:r>
        <w:rPr>
          <w:rFonts w:hint="eastAsia" w:ascii="宋体" w:hAnsi="宋体" w:eastAsia="宋体" w:cs="宋体"/>
          <w:spacing w:val="-10"/>
          <w:sz w:val="28"/>
        </w:rPr>
        <w:t>：</w:t>
      </w:r>
      <w:r>
        <w:rPr>
          <w:rFonts w:hint="eastAsia" w:ascii="宋体" w:hAnsi="宋体" w:eastAsia="宋体" w:cs="宋体"/>
          <w:sz w:val="28"/>
          <w:u w:val="single"/>
          <w:lang w:val="en-US" w:eastAsia="zh-CN"/>
        </w:rPr>
        <w:t xml:space="preserve"> 0771-8095679 </w:t>
      </w:r>
      <w:r>
        <w:rPr>
          <w:rFonts w:hint="eastAsia" w:ascii="宋体" w:hAnsi="宋体" w:eastAsia="宋体" w:cs="宋体"/>
          <w:spacing w:val="-2"/>
          <w:sz w:val="28"/>
        </w:rPr>
        <w:t>，联系人</w:t>
      </w:r>
      <w:r>
        <w:rPr>
          <w:rFonts w:hint="eastAsia" w:ascii="宋体" w:hAnsi="宋体" w:eastAsia="宋体" w:cs="宋体"/>
          <w:spacing w:val="-10"/>
          <w:sz w:val="28"/>
        </w:rPr>
        <w:t>：</w:t>
      </w:r>
      <w:r>
        <w:rPr>
          <w:rFonts w:hint="eastAsia" w:ascii="宋体" w:hAnsi="宋体" w:eastAsia="宋体" w:cs="宋体"/>
          <w:sz w:val="28"/>
          <w:u w:val="single"/>
          <w:lang w:val="en-US" w:eastAsia="zh-CN"/>
        </w:rPr>
        <w:t xml:space="preserve"> 赖小筱</w:t>
      </w:r>
      <w:r>
        <w:rPr>
          <w:rFonts w:hint="eastAsia" w:cs="宋体"/>
          <w:sz w:val="28"/>
          <w:u w:val="single"/>
          <w:lang w:val="en-US" w:eastAsia="zh-CN"/>
        </w:rPr>
        <w:t xml:space="preserve"> 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5959475</wp:posOffset>
              </wp:positionH>
              <wp:positionV relativeFrom="page">
                <wp:posOffset>9942830</wp:posOffset>
              </wp:positionV>
              <wp:extent cx="469900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- 9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9.25pt;margin-top:782.9pt;height:16.05pt;width:37pt;mso-position-horizontal-relative:page;mso-position-vertical-relative:page;z-index:-251657216;mso-width-relative:page;mso-height-relative:page;" filled="f" stroked="f" coordsize="21600,21600" o:gfxdata="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BBxwbNoAAAAOAQAADwAAAAAAAAABACAAAAAiAAAAZHJzL2Rvd25yZXYueG1sUEsB&#10;AhQAFAAAAAgAh07iQA7IF0q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- 9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pacing w:val="-10"/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5NGY5OGU3OWExNmQwYjViZWI3NDNjMzNiNjI0YTgifQ=="/>
  </w:docVars>
  <w:rsids>
    <w:rsidRoot w:val="22215FBB"/>
    <w:rsid w:val="1C3D0E65"/>
    <w:rsid w:val="1F9B72F3"/>
    <w:rsid w:val="20484218"/>
    <w:rsid w:val="22215FBB"/>
    <w:rsid w:val="2817207E"/>
    <w:rsid w:val="28EE494D"/>
    <w:rsid w:val="330212FD"/>
    <w:rsid w:val="338D69D1"/>
    <w:rsid w:val="3E0F4BCE"/>
    <w:rsid w:val="47FA17C2"/>
    <w:rsid w:val="49EB2164"/>
    <w:rsid w:val="4C8D6DC9"/>
    <w:rsid w:val="56745D04"/>
    <w:rsid w:val="57324AFA"/>
    <w:rsid w:val="6C291F9E"/>
    <w:rsid w:val="6EA375AF"/>
    <w:rsid w:val="72D575E0"/>
    <w:rsid w:val="77721711"/>
    <w:rsid w:val="7CE5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40"/>
      <w:ind w:left="837" w:right="1077"/>
      <w:jc w:val="center"/>
      <w:outlineLvl w:val="1"/>
    </w:pPr>
    <w:rPr>
      <w:rFonts w:ascii="宋体" w:hAnsi="宋体" w:eastAsia="宋体" w:cs="宋体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764</Words>
  <Characters>874</Characters>
  <Lines>0</Lines>
  <Paragraphs>0</Paragraphs>
  <TotalTime>82</TotalTime>
  <ScaleCrop>false</ScaleCrop>
  <LinksUpToDate>false</LinksUpToDate>
  <CharactersWithSpaces>899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2023-03-16T08:25:00Z</dcterms:created>
  <dc:creator>廖松栩,liaosx</dc:creator>
  <cp:lastModifiedBy>JIN</cp:lastModifiedBy>
  <dcterms:modified xsi:type="dcterms:W3CDTF">2023-03-22T00:59:00Z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3283CD5F7FFB466BBDEADBB027192B1F</vt:lpwstr>
  </property>
</Properties>
</file>